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7E" w:rsidRPr="0040737E" w:rsidRDefault="0040737E" w:rsidP="0040737E">
      <w:pPr>
        <w:pStyle w:val="Bodytext30"/>
        <w:shd w:val="clear" w:color="auto" w:fill="auto"/>
        <w:spacing w:before="0" w:line="240" w:lineRule="auto"/>
        <w:ind w:right="60"/>
        <w:rPr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spacing w:val="0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b/>
          <w:spacing w:val="0"/>
          <w:sz w:val="24"/>
          <w:szCs w:val="24"/>
        </w:rPr>
        <w:t>imjer:</w:t>
      </w:r>
    </w:p>
    <w:p w:rsidR="0040737E" w:rsidRPr="0040737E" w:rsidRDefault="0040737E" w:rsidP="0040737E">
      <w:pPr>
        <w:pStyle w:val="Bodytext30"/>
        <w:shd w:val="clear" w:color="auto" w:fill="auto"/>
        <w:spacing w:before="0" w:line="240" w:lineRule="auto"/>
        <w:ind w:right="60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Revizor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planira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reviziju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nekog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preduzeća</w:t>
      </w:r>
      <w:r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 xml:space="preserve"> АА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.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31.12.20</w:t>
      </w:r>
      <w:r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1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5.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komitentova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nerevidirana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potraživanja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od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kupaca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iznose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102,5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,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zaliha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65,3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postrojenja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(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neto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) 591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.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Ukupna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vrijednost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imovine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je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832,9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.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godišnji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prihod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od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788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nerevidirana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neto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dobit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je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4,5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.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Ukupne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su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tekuće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obaveze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43,6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,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dugoročne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obaveze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670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mili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  <w:lang w:val="sr-Cyrl-RS"/>
        </w:rPr>
        <w:t>o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KM</w:t>
      </w:r>
      <w:r w:rsidRPr="0040737E">
        <w:rPr>
          <w:rFonts w:ascii="Times New Roman" w:hAnsi="Times New Roman" w:cs="Times New Roman"/>
          <w:b/>
          <w:spacing w:val="0"/>
          <w:sz w:val="24"/>
          <w:szCs w:val="24"/>
        </w:rPr>
        <w:t>.</w:t>
      </w:r>
    </w:p>
    <w:p w:rsidR="0040737E" w:rsidRPr="0040737E" w:rsidRDefault="0040737E" w:rsidP="0040737E">
      <w:pPr>
        <w:pStyle w:val="Bodytext30"/>
        <w:shd w:val="clear" w:color="auto" w:fill="auto"/>
        <w:spacing w:before="0" w:line="240" w:lineRule="auto"/>
        <w:ind w:right="60"/>
        <w:rPr>
          <w:rFonts w:ascii="Times New Roman" w:hAnsi="Times New Roman" w:cs="Times New Roman"/>
          <w:sz w:val="24"/>
          <w:szCs w:val="24"/>
        </w:rPr>
      </w:pPr>
    </w:p>
    <w:p w:rsidR="0040737E" w:rsidRPr="0040737E" w:rsidRDefault="0040737E" w:rsidP="0040737E">
      <w:pPr>
        <w:pStyle w:val="Bodytext30"/>
        <w:numPr>
          <w:ilvl w:val="1"/>
          <w:numId w:val="1"/>
        </w:numPr>
        <w:shd w:val="clear" w:color="auto" w:fill="auto"/>
        <w:spacing w:before="0" w:line="240" w:lineRule="auto"/>
        <w:ind w:left="426" w:hanging="397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40737E">
        <w:rPr>
          <w:rFonts w:ascii="Times New Roman" w:hAnsi="Times New Roman" w:cs="Times New Roman"/>
          <w:spacing w:val="0"/>
          <w:sz w:val="24"/>
          <w:szCs w:val="24"/>
        </w:rPr>
        <w:t>Izvršite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početnu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procjenu</w:t>
      </w:r>
      <w:r w:rsidRPr="0040737E">
        <w:rPr>
          <w:rStyle w:val="Bodytext3Italic"/>
          <w:rFonts w:eastAsiaTheme="minorHAnsi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značajnosti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koristeći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radnu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tablicu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faktora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značajnosti</w:t>
      </w:r>
      <w:r w:rsidR="0000231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:rsidR="0040737E" w:rsidRPr="0040737E" w:rsidRDefault="0040737E" w:rsidP="0040737E">
      <w:pPr>
        <w:pStyle w:val="Bodytext30"/>
        <w:numPr>
          <w:ilvl w:val="1"/>
          <w:numId w:val="1"/>
        </w:numPr>
        <w:shd w:val="clear" w:color="auto" w:fill="auto"/>
        <w:tabs>
          <w:tab w:val="left" w:pos="-567"/>
        </w:tabs>
        <w:spacing w:before="0" w:line="240" w:lineRule="auto"/>
        <w:ind w:left="426" w:right="60" w:hanging="397"/>
        <w:jc w:val="left"/>
        <w:rPr>
          <w:rFonts w:ascii="Times New Roman" w:hAnsi="Times New Roman" w:cs="Times New Roman"/>
          <w:spacing w:val="0"/>
          <w:sz w:val="24"/>
          <w:szCs w:val="24"/>
        </w:rPr>
      </w:pPr>
      <w:r w:rsidRPr="0040737E">
        <w:rPr>
          <w:rFonts w:ascii="Times New Roman" w:hAnsi="Times New Roman" w:cs="Times New Roman"/>
          <w:spacing w:val="0"/>
          <w:sz w:val="24"/>
          <w:szCs w:val="24"/>
        </w:rPr>
        <w:t>Rasporedite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početnu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procjenu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značajnosti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na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navedene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račune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koristeći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samo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njihovu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relativnu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veličinu</w:t>
      </w:r>
      <w:r w:rsidRPr="0040737E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00231F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20" w:firstLine="0"/>
        <w:rPr>
          <w:rStyle w:val="BodytextBold"/>
          <w:rFonts w:eastAsiaTheme="minorHAnsi"/>
          <w:b w:val="0"/>
          <w:bCs w:val="0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2693"/>
        <w:gridCol w:w="1701"/>
      </w:tblGrid>
      <w:tr w:rsidR="0040737E" w:rsidRPr="0040737E" w:rsidTr="00C7442E">
        <w:trPr>
          <w:trHeight w:val="293"/>
          <w:jc w:val="center"/>
        </w:trPr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40737E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Tablica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faktora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značajnosti</w:t>
            </w:r>
          </w:p>
        </w:tc>
      </w:tr>
      <w:tr w:rsidR="0040737E" w:rsidRPr="0040737E" w:rsidTr="00C7442E">
        <w:trPr>
          <w:trHeight w:val="307"/>
          <w:jc w:val="center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40737E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40737E">
            <w:pPr>
              <w:pStyle w:val="Bodytext5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Postotak</w:t>
            </w:r>
          </w:p>
        </w:tc>
      </w:tr>
      <w:tr w:rsidR="0040737E" w:rsidRPr="0040737E" w:rsidTr="00C7442E">
        <w:trPr>
          <w:trHeight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0,07 - 0,05</w:t>
            </w:r>
          </w:p>
        </w:tc>
      </w:tr>
      <w:tr w:rsidR="0040737E" w:rsidRPr="0040737E" w:rsidTr="00C7442E">
        <w:trPr>
          <w:trHeight w:val="274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100.001 -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0,05 -0,03</w:t>
            </w:r>
          </w:p>
        </w:tc>
      </w:tr>
      <w:tr w:rsidR="0040737E" w:rsidRPr="0040737E" w:rsidTr="00C7442E">
        <w:trPr>
          <w:trHeight w:val="278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1.000.001 -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0,03 -0,015</w:t>
            </w:r>
          </w:p>
        </w:tc>
      </w:tr>
      <w:tr w:rsidR="0040737E" w:rsidRPr="0040737E" w:rsidTr="00C7442E">
        <w:trPr>
          <w:trHeight w:val="278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5.000.001 -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0,015-0,01</w:t>
            </w:r>
          </w:p>
        </w:tc>
      </w:tr>
      <w:tr w:rsidR="0040737E" w:rsidRPr="0040737E" w:rsidTr="00C7442E">
        <w:trPr>
          <w:trHeight w:val="274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10.000.001 -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25.000.000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0,01 -0,008</w:t>
            </w:r>
          </w:p>
        </w:tc>
      </w:tr>
      <w:tr w:rsidR="0040737E" w:rsidRPr="0040737E" w:rsidTr="00C7442E">
        <w:trPr>
          <w:trHeight w:val="278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25.000.001 -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50.000.000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0,008 - 0,005</w:t>
            </w:r>
          </w:p>
        </w:tc>
      </w:tr>
      <w:tr w:rsidR="0040737E" w:rsidRPr="0040737E" w:rsidTr="00C7442E">
        <w:trPr>
          <w:trHeight w:val="274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50.000.001 -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100.000.000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0,005 - 0,004</w:t>
            </w:r>
          </w:p>
        </w:tc>
      </w:tr>
      <w:tr w:rsidR="0040737E" w:rsidRPr="0040737E" w:rsidTr="00C7442E">
        <w:trPr>
          <w:trHeight w:val="274"/>
          <w:jc w:val="center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jc w:val="right"/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Iznad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mil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0,004 -0,002</w:t>
            </w:r>
          </w:p>
        </w:tc>
      </w:tr>
      <w:tr w:rsidR="0040737E" w:rsidRPr="0040737E" w:rsidTr="00C7442E">
        <w:trPr>
          <w:trHeight w:val="283"/>
          <w:jc w:val="center"/>
        </w:trPr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37E" w:rsidRPr="0040737E" w:rsidRDefault="0040737E" w:rsidP="00C7442E"/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pStyle w:val="Bodytext0"/>
              <w:shd w:val="clear" w:color="auto" w:fill="auto"/>
              <w:spacing w:line="240" w:lineRule="auto"/>
              <w:ind w:left="-1082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37E" w:rsidRPr="0040737E" w:rsidRDefault="0040737E" w:rsidP="00C7442E">
            <w:pPr>
              <w:jc w:val="center"/>
            </w:pPr>
          </w:p>
        </w:tc>
      </w:tr>
    </w:tbl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20" w:firstLine="0"/>
        <w:rPr>
          <w:rStyle w:val="BodytextBold"/>
          <w:rFonts w:eastAsiaTheme="minorHAnsi"/>
          <w:b w:val="0"/>
          <w:bCs w:val="0"/>
          <w:szCs w:val="24"/>
        </w:rPr>
      </w:pPr>
    </w:p>
    <w:p w:rsidR="0040737E" w:rsidRPr="0000231F" w:rsidRDefault="0040737E" w:rsidP="0040737E">
      <w:pPr>
        <w:pStyle w:val="Bodytext0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b/>
          <w:sz w:val="24"/>
          <w:szCs w:val="24"/>
        </w:rPr>
      </w:pPr>
      <w:r w:rsidRPr="0000231F">
        <w:rPr>
          <w:rFonts w:ascii="Times New Roman" w:hAnsi="Times New Roman" w:cs="Times New Roman"/>
          <w:b/>
          <w:sz w:val="24"/>
          <w:szCs w:val="24"/>
        </w:rPr>
        <w:t>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0231F">
        <w:rPr>
          <w:rFonts w:ascii="Times New Roman" w:hAnsi="Times New Roman" w:cs="Times New Roman"/>
          <w:b/>
          <w:sz w:val="24"/>
          <w:szCs w:val="24"/>
        </w:rPr>
        <w:t>Revizor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bi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trebao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koristiti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ukupnu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imovinu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od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823,9 </w:t>
      </w:r>
      <w:r w:rsidRPr="0000231F">
        <w:rPr>
          <w:rFonts w:ascii="Times New Roman" w:hAnsi="Times New Roman" w:cs="Times New Roman"/>
          <w:b/>
          <w:sz w:val="24"/>
          <w:szCs w:val="24"/>
        </w:rPr>
        <w:t>milijuna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KM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kao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temelј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množiti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s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faktorom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značajnosti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između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0,002 </w:t>
      </w:r>
      <w:r w:rsidRPr="0000231F">
        <w:rPr>
          <w:rFonts w:ascii="Times New Roman" w:hAnsi="Times New Roman" w:cs="Times New Roman"/>
          <w:b/>
          <w:sz w:val="24"/>
          <w:szCs w:val="24"/>
        </w:rPr>
        <w:t>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0,004, </w:t>
      </w:r>
      <w:r w:rsidRPr="0000231F">
        <w:rPr>
          <w:rFonts w:ascii="Times New Roman" w:hAnsi="Times New Roman" w:cs="Times New Roman"/>
          <w:b/>
          <w:sz w:val="24"/>
          <w:szCs w:val="24"/>
        </w:rPr>
        <w:t>iz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Tablice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značajnosti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37E" w:rsidRPr="0000231F" w:rsidRDefault="0040737E" w:rsidP="0040737E">
      <w:pPr>
        <w:pStyle w:val="Bodytext0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40737E" w:rsidRPr="0000231F" w:rsidRDefault="0040737E" w:rsidP="0040737E">
      <w:pPr>
        <w:pStyle w:val="Heading10"/>
        <w:keepNext/>
        <w:keepLines/>
        <w:shd w:val="clear" w:color="auto" w:fill="auto"/>
        <w:tabs>
          <w:tab w:val="left" w:pos="2626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0231F">
        <w:rPr>
          <w:rFonts w:ascii="Times New Roman" w:hAnsi="Times New Roman" w:cs="Times New Roman"/>
          <w:sz w:val="24"/>
          <w:szCs w:val="24"/>
        </w:rPr>
        <w:t>Datum</w:t>
      </w:r>
      <w:r w:rsidRPr="0000231F">
        <w:rPr>
          <w:rFonts w:ascii="Times New Roman" w:hAnsi="Times New Roman" w:cs="Times New Roman"/>
          <w:sz w:val="24"/>
          <w:szCs w:val="24"/>
        </w:rPr>
        <w:t>: 31.12.20X5.</w:t>
      </w:r>
    </w:p>
    <w:p w:rsidR="0040737E" w:rsidRPr="0000231F" w:rsidRDefault="0040737E" w:rsidP="0040737E">
      <w:pPr>
        <w:pStyle w:val="Heading1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00231F">
        <w:rPr>
          <w:rFonts w:ascii="Times New Roman" w:hAnsi="Times New Roman" w:cs="Times New Roman"/>
          <w:sz w:val="24"/>
          <w:szCs w:val="24"/>
        </w:rPr>
        <w:t>UTVRĐIVANјE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OSNOVNOG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IZNOSA</w:t>
      </w:r>
      <w:bookmarkEnd w:id="0"/>
    </w:p>
    <w:p w:rsidR="0040737E" w:rsidRPr="0000231F" w:rsidRDefault="0040737E" w:rsidP="0040737E">
      <w:pPr>
        <w:pStyle w:val="Bodytext0"/>
        <w:shd w:val="clear" w:color="auto" w:fill="auto"/>
        <w:tabs>
          <w:tab w:val="left" w:pos="2689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0231F">
        <w:rPr>
          <w:rStyle w:val="BodytextBold"/>
          <w:rFonts w:eastAsiaTheme="minorHAnsi"/>
          <w:sz w:val="24"/>
          <w:szCs w:val="24"/>
        </w:rPr>
        <w:t>Osnovni</w:t>
      </w:r>
      <w:r w:rsidRPr="0000231F">
        <w:rPr>
          <w:rStyle w:val="BodytextBold"/>
          <w:rFonts w:eastAsiaTheme="minorHAnsi"/>
          <w:sz w:val="24"/>
          <w:szCs w:val="24"/>
        </w:rPr>
        <w:t xml:space="preserve"> </w:t>
      </w:r>
      <w:r w:rsidRPr="0000231F">
        <w:rPr>
          <w:rStyle w:val="BodytextBold"/>
          <w:rFonts w:eastAsiaTheme="minorHAnsi"/>
          <w:sz w:val="24"/>
          <w:szCs w:val="24"/>
        </w:rPr>
        <w:t>iznos</w:t>
      </w:r>
      <w:r w:rsidRPr="0000231F">
        <w:rPr>
          <w:rStyle w:val="BodytextBold"/>
          <w:rFonts w:eastAsiaTheme="minorHAnsi"/>
          <w:sz w:val="24"/>
          <w:szCs w:val="24"/>
        </w:rPr>
        <w:t xml:space="preserve">: </w:t>
      </w:r>
      <w:r w:rsidRPr="0000231F">
        <w:rPr>
          <w:rFonts w:ascii="Times New Roman" w:hAnsi="Times New Roman" w:cs="Times New Roman"/>
          <w:sz w:val="24"/>
          <w:szCs w:val="24"/>
        </w:rPr>
        <w:t xml:space="preserve">823.900.000 </w:t>
      </w:r>
      <w:r w:rsidRPr="0000231F">
        <w:rPr>
          <w:rFonts w:ascii="Times New Roman" w:hAnsi="Times New Roman" w:cs="Times New Roman"/>
          <w:sz w:val="24"/>
          <w:szCs w:val="24"/>
        </w:rPr>
        <w:t>KM</w:t>
      </w:r>
      <w:r w:rsidRPr="0000231F">
        <w:rPr>
          <w:rFonts w:ascii="Times New Roman" w:hAnsi="Times New Roman" w:cs="Times New Roman"/>
          <w:sz w:val="24"/>
          <w:szCs w:val="24"/>
        </w:rPr>
        <w:t xml:space="preserve"> (</w:t>
      </w:r>
      <w:r w:rsidRPr="0000231F">
        <w:rPr>
          <w:rFonts w:ascii="Times New Roman" w:hAnsi="Times New Roman" w:cs="Times New Roman"/>
          <w:sz w:val="24"/>
          <w:szCs w:val="24"/>
        </w:rPr>
        <w:t>veći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iznos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od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sveukupne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imovine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ili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ukupnih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prihoda</w:t>
      </w:r>
      <w:r w:rsidRPr="0000231F">
        <w:rPr>
          <w:rFonts w:ascii="Times New Roman" w:hAnsi="Times New Roman" w:cs="Times New Roman"/>
          <w:sz w:val="24"/>
          <w:szCs w:val="24"/>
        </w:rPr>
        <w:t>)</w:t>
      </w:r>
    </w:p>
    <w:p w:rsidR="0040737E" w:rsidRPr="0000231F" w:rsidRDefault="0040737E" w:rsidP="0040737E">
      <w:pPr>
        <w:pStyle w:val="Heading1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</w:p>
    <w:p w:rsidR="0040737E" w:rsidRPr="0000231F" w:rsidRDefault="0040737E" w:rsidP="0040737E">
      <w:pPr>
        <w:pStyle w:val="Heading1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0737E" w:rsidRPr="0000231F" w:rsidRDefault="0040737E" w:rsidP="0040737E">
      <w:pPr>
        <w:pStyle w:val="Heading1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0231F">
        <w:rPr>
          <w:rFonts w:ascii="Times New Roman" w:hAnsi="Times New Roman" w:cs="Times New Roman"/>
          <w:sz w:val="24"/>
          <w:szCs w:val="24"/>
        </w:rPr>
        <w:t>PRORAČUNAVANјE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PLANIRANјA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ZNAČAJNOSTI</w:t>
      </w:r>
      <w:bookmarkEnd w:id="1"/>
    </w:p>
    <w:p w:rsidR="0040737E" w:rsidRPr="0000231F" w:rsidRDefault="0040737E" w:rsidP="0040737E">
      <w:pPr>
        <w:pStyle w:val="Bodytext0"/>
        <w:shd w:val="clear" w:color="auto" w:fill="auto"/>
        <w:tabs>
          <w:tab w:val="left" w:pos="2798"/>
          <w:tab w:val="left" w:pos="4406"/>
        </w:tabs>
        <w:spacing w:line="240" w:lineRule="auto"/>
        <w:ind w:right="920" w:firstLine="0"/>
        <w:rPr>
          <w:rFonts w:ascii="Times New Roman" w:hAnsi="Times New Roman" w:cs="Times New Roman"/>
          <w:sz w:val="24"/>
          <w:szCs w:val="24"/>
        </w:rPr>
      </w:pPr>
      <w:r w:rsidRPr="0000231F">
        <w:rPr>
          <w:rFonts w:ascii="Times New Roman" w:hAnsi="Times New Roman" w:cs="Times New Roman"/>
          <w:sz w:val="24"/>
          <w:szCs w:val="24"/>
        </w:rPr>
        <w:t xml:space="preserve">823.900.000 </w:t>
      </w:r>
      <w:r w:rsidRPr="0000231F">
        <w:rPr>
          <w:rFonts w:ascii="Times New Roman" w:hAnsi="Times New Roman" w:cs="Times New Roman"/>
          <w:sz w:val="24"/>
          <w:szCs w:val="24"/>
        </w:rPr>
        <w:t>USD</w:t>
      </w:r>
      <w:r w:rsidRPr="0000231F">
        <w:rPr>
          <w:rFonts w:ascii="Times New Roman" w:hAnsi="Times New Roman" w:cs="Times New Roman"/>
          <w:sz w:val="24"/>
          <w:szCs w:val="24"/>
        </w:rPr>
        <w:t xml:space="preserve">   x   0,002   =   1.648.000 </w:t>
      </w:r>
      <w:r w:rsidRPr="0000231F">
        <w:rPr>
          <w:rFonts w:ascii="Times New Roman" w:hAnsi="Times New Roman" w:cs="Times New Roman"/>
          <w:sz w:val="24"/>
          <w:szCs w:val="24"/>
        </w:rPr>
        <w:t>USD</w:t>
      </w:r>
      <w:r w:rsidRPr="0000231F">
        <w:rPr>
          <w:rFonts w:ascii="Times New Roman" w:hAnsi="Times New Roman" w:cs="Times New Roman"/>
          <w:sz w:val="24"/>
          <w:szCs w:val="24"/>
        </w:rPr>
        <w:t xml:space="preserve"> (</w:t>
      </w:r>
      <w:r w:rsidRPr="0000231F">
        <w:rPr>
          <w:rFonts w:ascii="Times New Roman" w:hAnsi="Times New Roman" w:cs="Times New Roman"/>
          <w:sz w:val="24"/>
          <w:szCs w:val="24"/>
        </w:rPr>
        <w:t>zaokruženo</w:t>
      </w:r>
      <w:r w:rsidRPr="0000231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737E" w:rsidRPr="0000231F" w:rsidRDefault="0040737E" w:rsidP="0040737E">
      <w:pPr>
        <w:pStyle w:val="Bodytext0"/>
        <w:shd w:val="clear" w:color="auto" w:fill="auto"/>
        <w:tabs>
          <w:tab w:val="left" w:pos="2798"/>
          <w:tab w:val="left" w:pos="4406"/>
        </w:tabs>
        <w:spacing w:line="240" w:lineRule="auto"/>
        <w:ind w:right="920" w:firstLine="0"/>
        <w:rPr>
          <w:rFonts w:ascii="Times New Roman" w:hAnsi="Times New Roman" w:cs="Times New Roman"/>
          <w:sz w:val="24"/>
          <w:szCs w:val="24"/>
        </w:rPr>
      </w:pPr>
      <w:r w:rsidRPr="0000231F">
        <w:rPr>
          <w:rFonts w:ascii="Times New Roman" w:hAnsi="Times New Roman" w:cs="Times New Roman"/>
          <w:sz w:val="24"/>
          <w:szCs w:val="24"/>
        </w:rPr>
        <w:t>Osnovni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iznos</w:t>
      </w:r>
      <w:r w:rsidRPr="0000231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0231F">
        <w:rPr>
          <w:rFonts w:ascii="Times New Roman" w:hAnsi="Times New Roman" w:cs="Times New Roman"/>
          <w:sz w:val="24"/>
          <w:szCs w:val="24"/>
        </w:rPr>
        <w:t>Postotak</w:t>
      </w:r>
      <w:r w:rsidRPr="000023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231F">
        <w:rPr>
          <w:rFonts w:ascii="Times New Roman" w:hAnsi="Times New Roman" w:cs="Times New Roman"/>
          <w:sz w:val="24"/>
          <w:szCs w:val="24"/>
        </w:rPr>
        <w:t>Planiranje</w:t>
      </w:r>
      <w:r w:rsidRPr="0000231F">
        <w:rPr>
          <w:rFonts w:ascii="Times New Roman" w:hAnsi="Times New Roman" w:cs="Times New Roman"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sz w:val="24"/>
          <w:szCs w:val="24"/>
        </w:rPr>
        <w:t>značajnosti</w:t>
      </w:r>
    </w:p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40737E" w:rsidRDefault="0040737E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00231F" w:rsidRPr="0040737E" w:rsidRDefault="0000231F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40737E" w:rsidRPr="0000231F" w:rsidRDefault="0040737E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b/>
          <w:sz w:val="24"/>
          <w:szCs w:val="24"/>
        </w:rPr>
      </w:pPr>
      <w:r w:rsidRPr="0000231F"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0231F">
        <w:rPr>
          <w:rFonts w:ascii="Times New Roman" w:hAnsi="Times New Roman" w:cs="Times New Roman"/>
          <w:b/>
          <w:sz w:val="24"/>
          <w:szCs w:val="24"/>
        </w:rPr>
        <w:t>Utvrđivanje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početne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procjene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značajnosti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od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1.648.000 </w:t>
      </w:r>
      <w:r w:rsidRPr="0000231F">
        <w:rPr>
          <w:rFonts w:ascii="Times New Roman" w:hAnsi="Times New Roman" w:cs="Times New Roman"/>
          <w:b/>
          <w:sz w:val="24"/>
          <w:szCs w:val="24"/>
        </w:rPr>
        <w:t>KM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za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račune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potraživanja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kupaca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na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osnovi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isklјučivo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relativnih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veličina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bila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bi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izračunavana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kako</w:t>
      </w:r>
      <w:r w:rsidRPr="0000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1F">
        <w:rPr>
          <w:rFonts w:ascii="Times New Roman" w:hAnsi="Times New Roman" w:cs="Times New Roman"/>
          <w:b/>
          <w:sz w:val="24"/>
          <w:szCs w:val="24"/>
        </w:rPr>
        <w:t>slijedi</w:t>
      </w:r>
      <w:r w:rsidRPr="0000231F">
        <w:rPr>
          <w:rFonts w:ascii="Times New Roman" w:hAnsi="Times New Roman" w:cs="Times New Roman"/>
          <w:b/>
          <w:sz w:val="24"/>
          <w:szCs w:val="24"/>
        </w:rPr>
        <w:t>:</w:t>
      </w:r>
    </w:p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  <w:r w:rsidRPr="0040737E">
        <w:rPr>
          <w:rFonts w:ascii="Times New Roman" w:hAnsi="Times New Roman" w:cs="Times New Roman"/>
          <w:sz w:val="24"/>
          <w:szCs w:val="24"/>
        </w:rPr>
        <w:t xml:space="preserve">102.500.000 / 1.472.400.000 *1.648.000 = 115.000 </w:t>
      </w:r>
      <w:r w:rsidRPr="0040737E"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 i td.</w:t>
      </w:r>
    </w:p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280" w:firstLine="0"/>
        <w:rPr>
          <w:rFonts w:ascii="Times New Roman" w:hAnsi="Times New Roman" w:cs="Times New Roman"/>
          <w:sz w:val="24"/>
          <w:szCs w:val="24"/>
        </w:rPr>
      </w:pPr>
    </w:p>
    <w:p w:rsidR="0040737E" w:rsidRPr="0040737E" w:rsidRDefault="0040737E" w:rsidP="0040737E">
      <w:pPr>
        <w:pStyle w:val="Tablecaption20"/>
        <w:framePr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37E">
        <w:rPr>
          <w:rFonts w:ascii="Times New Roman" w:hAnsi="Times New Roman" w:cs="Times New Roman"/>
          <w:sz w:val="24"/>
          <w:szCs w:val="24"/>
        </w:rPr>
        <w:t>Raspored</w:t>
      </w:r>
      <w:r w:rsidRPr="0040737E">
        <w:rPr>
          <w:rFonts w:ascii="Times New Roman" w:hAnsi="Times New Roman" w:cs="Times New Roman"/>
          <w:sz w:val="24"/>
          <w:szCs w:val="24"/>
        </w:rPr>
        <w:t xml:space="preserve"> (</w:t>
      </w:r>
      <w:r w:rsidRPr="0040737E">
        <w:rPr>
          <w:rFonts w:ascii="Times New Roman" w:hAnsi="Times New Roman" w:cs="Times New Roman"/>
          <w:sz w:val="24"/>
          <w:szCs w:val="24"/>
        </w:rPr>
        <w:t>zaokružen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na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približno</w:t>
      </w:r>
      <w:r w:rsidRPr="0040737E">
        <w:rPr>
          <w:rFonts w:ascii="Times New Roman" w:hAnsi="Times New Roman" w:cs="Times New Roman"/>
          <w:sz w:val="24"/>
          <w:szCs w:val="24"/>
        </w:rPr>
        <w:t xml:space="preserve"> 000 </w:t>
      </w:r>
      <w:r w:rsidRPr="0040737E">
        <w:rPr>
          <w:rFonts w:ascii="Times New Roman" w:hAnsi="Times New Roman" w:cs="Times New Roman"/>
          <w:sz w:val="24"/>
          <w:szCs w:val="24"/>
        </w:rPr>
        <w:t>KM</w:t>
      </w:r>
      <w:r w:rsidRPr="0040737E">
        <w:rPr>
          <w:rFonts w:ascii="Times New Roman" w:hAnsi="Times New Roman" w:cs="Times New Roman"/>
          <w:sz w:val="24"/>
          <w:szCs w:val="24"/>
        </w:rPr>
        <w:t xml:space="preserve">) </w:t>
      </w:r>
      <w:r w:rsidRPr="0040737E">
        <w:rPr>
          <w:rFonts w:ascii="Times New Roman" w:hAnsi="Times New Roman" w:cs="Times New Roman"/>
          <w:sz w:val="24"/>
          <w:szCs w:val="24"/>
        </w:rPr>
        <w:t>za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sve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račune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je</w:t>
      </w:r>
      <w:r w:rsidRPr="0040737E">
        <w:rPr>
          <w:rFonts w:ascii="Times New Roman" w:hAnsi="Times New Roman" w:cs="Times New Roman"/>
          <w:sz w:val="24"/>
          <w:szCs w:val="24"/>
        </w:rPr>
        <w:t>:</w:t>
      </w:r>
    </w:p>
    <w:p w:rsidR="0040737E" w:rsidRPr="0040737E" w:rsidRDefault="0040737E" w:rsidP="0040737E">
      <w:pPr>
        <w:pStyle w:val="Tablecaption20"/>
        <w:framePr w:wrap="notBeside" w:vAnchor="text" w:hAnchor="text" w:xAlign="center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2098"/>
        <w:gridCol w:w="2630"/>
      </w:tblGrid>
      <w:tr w:rsidR="0040737E" w:rsidRPr="0040737E" w:rsidTr="0000231F">
        <w:trPr>
          <w:trHeight w:val="269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framePr w:wrap="notBeside" w:vAnchor="text" w:hAnchor="text" w:xAlign="center" w:y="1"/>
            </w:pP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Raspored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40737E" w:rsidRPr="0040737E" w:rsidTr="0000231F">
        <w:trPr>
          <w:trHeight w:val="254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osnovi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relativne</w:t>
            </w:r>
          </w:p>
        </w:tc>
      </w:tr>
      <w:tr w:rsidR="0040737E" w:rsidRPr="0040737E" w:rsidTr="0000231F">
        <w:trPr>
          <w:trHeight w:val="317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bilansu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bilansu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5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veličine</w:t>
            </w:r>
          </w:p>
        </w:tc>
      </w:tr>
      <w:tr w:rsidR="0040737E" w:rsidRPr="0040737E" w:rsidTr="0000231F">
        <w:trPr>
          <w:trHeight w:val="283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Potraživanja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102.500.000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115.000</w:t>
            </w:r>
          </w:p>
        </w:tc>
      </w:tr>
      <w:tr w:rsidR="0040737E" w:rsidRPr="0040737E" w:rsidTr="0000231F">
        <w:trPr>
          <w:trHeight w:val="278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Zalihe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65.300.000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73.000</w:t>
            </w:r>
          </w:p>
        </w:tc>
      </w:tr>
      <w:tr w:rsidR="0040737E" w:rsidRPr="0040737E" w:rsidTr="0000231F">
        <w:trPr>
          <w:trHeight w:val="278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vrijednost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nekretnina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591.000.000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661.000</w:t>
            </w:r>
          </w:p>
        </w:tc>
      </w:tr>
      <w:tr w:rsidR="0040737E" w:rsidRPr="0040737E" w:rsidTr="0000231F">
        <w:trPr>
          <w:trHeight w:val="278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Kratkoročne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obaveze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43.600.000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49.000</w:t>
            </w:r>
          </w:p>
        </w:tc>
      </w:tr>
      <w:tr w:rsidR="0040737E" w:rsidRPr="0040737E" w:rsidTr="0000231F">
        <w:trPr>
          <w:trHeight w:val="274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Dugoročna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obaveze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670.000.000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750.000</w:t>
            </w:r>
          </w:p>
        </w:tc>
      </w:tr>
      <w:tr w:rsidR="0040737E" w:rsidRPr="0040737E" w:rsidTr="0000231F">
        <w:trPr>
          <w:trHeight w:val="293"/>
          <w:jc w:val="right"/>
        </w:trPr>
        <w:tc>
          <w:tcPr>
            <w:tcW w:w="27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098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1.472.400.000</w:t>
            </w:r>
          </w:p>
        </w:tc>
        <w:tc>
          <w:tcPr>
            <w:tcW w:w="2630" w:type="dxa"/>
            <w:shd w:val="clear" w:color="auto" w:fill="FFFFFF"/>
          </w:tcPr>
          <w:p w:rsidR="0040737E" w:rsidRPr="0040737E" w:rsidRDefault="0040737E" w:rsidP="00C7442E">
            <w:pPr>
              <w:pStyle w:val="Bodytext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737E">
              <w:rPr>
                <w:rFonts w:ascii="Times New Roman" w:hAnsi="Times New Roman" w:cs="Times New Roman"/>
                <w:sz w:val="24"/>
                <w:szCs w:val="24"/>
              </w:rPr>
              <w:t>1.648.000</w:t>
            </w:r>
          </w:p>
        </w:tc>
      </w:tr>
    </w:tbl>
    <w:p w:rsidR="0040737E" w:rsidRPr="0040737E" w:rsidRDefault="0040737E" w:rsidP="0040737E"/>
    <w:p w:rsidR="0040737E" w:rsidRPr="0040737E" w:rsidRDefault="0040737E" w:rsidP="0040737E">
      <w:pPr>
        <w:pStyle w:val="Bodytext0"/>
        <w:shd w:val="clear" w:color="auto" w:fill="auto"/>
        <w:spacing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40737E">
        <w:rPr>
          <w:rFonts w:ascii="Times New Roman" w:hAnsi="Times New Roman" w:cs="Times New Roman"/>
          <w:sz w:val="24"/>
          <w:szCs w:val="24"/>
        </w:rPr>
        <w:t>U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ovom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primjeru</w:t>
      </w:r>
      <w:r w:rsidRPr="0040737E">
        <w:rPr>
          <w:rFonts w:ascii="Times New Roman" w:hAnsi="Times New Roman" w:cs="Times New Roman"/>
          <w:sz w:val="24"/>
          <w:szCs w:val="24"/>
        </w:rPr>
        <w:t xml:space="preserve">, </w:t>
      </w:r>
      <w:r w:rsidRPr="0040737E">
        <w:rPr>
          <w:rFonts w:ascii="Times New Roman" w:hAnsi="Times New Roman" w:cs="Times New Roman"/>
          <w:sz w:val="24"/>
          <w:szCs w:val="24"/>
        </w:rPr>
        <w:t>revizor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bi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prilagodio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raspored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značajnost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na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osnovi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relativnih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veličina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uzimajući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u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obzir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svoje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očekivanje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grešaka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i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relativni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trošak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revizije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salda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na</w:t>
      </w:r>
      <w:r w:rsidRPr="0040737E">
        <w:rPr>
          <w:rFonts w:ascii="Times New Roman" w:hAnsi="Times New Roman" w:cs="Times New Roman"/>
          <w:sz w:val="24"/>
          <w:szCs w:val="24"/>
        </w:rPr>
        <w:t xml:space="preserve"> </w:t>
      </w:r>
      <w:r w:rsidRPr="0040737E">
        <w:rPr>
          <w:rFonts w:ascii="Times New Roman" w:hAnsi="Times New Roman" w:cs="Times New Roman"/>
          <w:sz w:val="24"/>
          <w:szCs w:val="24"/>
        </w:rPr>
        <w:t>računu</w:t>
      </w:r>
      <w:r w:rsidRPr="0040737E">
        <w:rPr>
          <w:rFonts w:ascii="Times New Roman" w:hAnsi="Times New Roman" w:cs="Times New Roman"/>
          <w:sz w:val="24"/>
          <w:szCs w:val="24"/>
        </w:rPr>
        <w:t>.</w:t>
      </w:r>
    </w:p>
    <w:p w:rsidR="0040737E" w:rsidRPr="0040737E" w:rsidRDefault="0040737E" w:rsidP="0040737E">
      <w:pPr>
        <w:pStyle w:val="Bodytext20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sz w:val="24"/>
        </w:rPr>
      </w:pPr>
      <w:bookmarkStart w:id="2" w:name="_GoBack"/>
      <w:bookmarkEnd w:id="2"/>
    </w:p>
    <w:p w:rsidR="004A062B" w:rsidRPr="0040737E" w:rsidRDefault="004A062B"/>
    <w:sectPr w:rsidR="004A062B" w:rsidRPr="0040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51E07"/>
    <w:multiLevelType w:val="multilevel"/>
    <w:tmpl w:val="04AECA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F8"/>
    <w:rsid w:val="0000231F"/>
    <w:rsid w:val="0040737E"/>
    <w:rsid w:val="004A062B"/>
    <w:rsid w:val="0068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A7C2D-760A-4EE2-BDBF-1A11FD8B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0"/>
    <w:locked/>
    <w:rsid w:val="0040737E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40737E"/>
    <w:pPr>
      <w:shd w:val="clear" w:color="auto" w:fill="FFFFFF"/>
      <w:spacing w:line="259" w:lineRule="exact"/>
      <w:ind w:hanging="1020"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customStyle="1" w:styleId="Bodytext3">
    <w:name w:val="Body text (3)_"/>
    <w:link w:val="Bodytext30"/>
    <w:locked/>
    <w:rsid w:val="0040737E"/>
    <w:rPr>
      <w:spacing w:val="10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0737E"/>
    <w:pPr>
      <w:shd w:val="clear" w:color="auto" w:fill="FFFFFF"/>
      <w:spacing w:before="180" w:line="235" w:lineRule="exact"/>
      <w:jc w:val="both"/>
    </w:pPr>
    <w:rPr>
      <w:rFonts w:asciiTheme="minorHAnsi" w:eastAsiaTheme="minorHAnsi" w:hAnsiTheme="minorHAnsi" w:cstheme="minorBidi"/>
      <w:spacing w:val="10"/>
      <w:sz w:val="17"/>
      <w:szCs w:val="17"/>
      <w:lang w:val="sr-Latn-RS"/>
    </w:rPr>
  </w:style>
  <w:style w:type="character" w:customStyle="1" w:styleId="Bodytext2">
    <w:name w:val="Body text (2)_"/>
    <w:link w:val="Bodytext20"/>
    <w:locked/>
    <w:rsid w:val="0040737E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0737E"/>
    <w:pPr>
      <w:shd w:val="clear" w:color="auto" w:fill="FFFFFF"/>
      <w:spacing w:after="60" w:line="240" w:lineRule="exact"/>
      <w:ind w:hanging="260"/>
      <w:jc w:val="both"/>
    </w:pPr>
    <w:rPr>
      <w:rFonts w:asciiTheme="minorHAnsi" w:eastAsiaTheme="minorHAnsi" w:hAnsiTheme="minorHAnsi" w:cstheme="minorBidi"/>
      <w:sz w:val="18"/>
      <w:szCs w:val="18"/>
      <w:lang w:val="sr-Latn-RS"/>
    </w:rPr>
  </w:style>
  <w:style w:type="character" w:customStyle="1" w:styleId="BodytextBold">
    <w:name w:val="Body text + Bold"/>
    <w:rsid w:val="004073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Italic">
    <w:name w:val="Body text (3) + Italic"/>
    <w:rsid w:val="004073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Heading1">
    <w:name w:val="Heading #1_"/>
    <w:link w:val="Heading10"/>
    <w:rsid w:val="0040737E"/>
    <w:rPr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40737E"/>
    <w:pPr>
      <w:shd w:val="clear" w:color="auto" w:fill="FFFFFF"/>
      <w:spacing w:before="300" w:line="379" w:lineRule="exact"/>
      <w:jc w:val="both"/>
      <w:outlineLvl w:val="0"/>
    </w:pPr>
    <w:rPr>
      <w:rFonts w:asciiTheme="minorHAnsi" w:eastAsiaTheme="minorHAnsi" w:hAnsiTheme="minorHAnsi" w:cstheme="minorBidi"/>
      <w:sz w:val="19"/>
      <w:szCs w:val="19"/>
      <w:lang w:val="sr-Latn-RS"/>
    </w:rPr>
  </w:style>
  <w:style w:type="character" w:customStyle="1" w:styleId="Bodytext5">
    <w:name w:val="Body text (5)_"/>
    <w:link w:val="Bodytext50"/>
    <w:rsid w:val="0040737E"/>
    <w:rPr>
      <w:sz w:val="19"/>
      <w:szCs w:val="19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0737E"/>
    <w:pPr>
      <w:shd w:val="clear" w:color="auto" w:fill="FFFFFF"/>
      <w:spacing w:before="60" w:after="60" w:line="259" w:lineRule="exact"/>
      <w:ind w:hanging="1040"/>
      <w:jc w:val="both"/>
    </w:pPr>
    <w:rPr>
      <w:rFonts w:asciiTheme="minorHAnsi" w:eastAsiaTheme="minorHAnsi" w:hAnsiTheme="minorHAnsi" w:cstheme="minorBidi"/>
      <w:sz w:val="19"/>
      <w:szCs w:val="19"/>
      <w:lang w:val="sr-Latn-RS"/>
    </w:rPr>
  </w:style>
  <w:style w:type="character" w:customStyle="1" w:styleId="Tablecaption2">
    <w:name w:val="Table caption (2)_"/>
    <w:link w:val="Tablecaption20"/>
    <w:rsid w:val="0040737E"/>
    <w:rPr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40737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1844</Characters>
  <Application>Microsoft Office Word</Application>
  <DocSecurity>0</DocSecurity>
  <Lines>40</Lines>
  <Paragraphs>19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2016-07-12T11:27:00Z</dcterms:created>
  <dcterms:modified xsi:type="dcterms:W3CDTF">2016-07-12T11:30:00Z</dcterms:modified>
</cp:coreProperties>
</file>